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115" w:type="dxa"/>
        <w:tblLayout w:type="fixed"/>
        <w:tblLook w:val="04A0"/>
      </w:tblPr>
      <w:tblGrid>
        <w:gridCol w:w="2160"/>
        <w:gridCol w:w="5760"/>
        <w:gridCol w:w="1440"/>
      </w:tblGrid>
      <w:tr w:rsidR="00C7310C" w:rsidRPr="00491258" w:rsidTr="00491258">
        <w:tc>
          <w:tcPr>
            <w:tcW w:w="2160" w:type="dxa"/>
            <w:shd w:val="clear" w:color="auto" w:fill="EEECE1" w:themeFill="background2"/>
          </w:tcPr>
          <w:p w:rsidR="00C7310C" w:rsidRPr="00491258" w:rsidRDefault="00C7310C">
            <w:pPr>
              <w:ind w:left="0"/>
              <w:rPr>
                <w:b/>
              </w:rPr>
            </w:pPr>
            <w:r w:rsidRPr="00491258">
              <w:rPr>
                <w:b/>
              </w:rPr>
              <w:t>Date</w:t>
            </w:r>
          </w:p>
        </w:tc>
        <w:tc>
          <w:tcPr>
            <w:tcW w:w="5760" w:type="dxa"/>
            <w:shd w:val="clear" w:color="auto" w:fill="EEECE1" w:themeFill="background2"/>
          </w:tcPr>
          <w:p w:rsidR="00C7310C" w:rsidRPr="00491258" w:rsidRDefault="00C7310C">
            <w:pPr>
              <w:ind w:left="0"/>
              <w:rPr>
                <w:b/>
              </w:rPr>
            </w:pPr>
            <w:r w:rsidRPr="00491258">
              <w:rPr>
                <w:b/>
              </w:rPr>
              <w:t>Webcast Name</w:t>
            </w:r>
          </w:p>
        </w:tc>
        <w:tc>
          <w:tcPr>
            <w:tcW w:w="1440" w:type="dxa"/>
            <w:shd w:val="clear" w:color="auto" w:fill="EEECE1" w:themeFill="background2"/>
          </w:tcPr>
          <w:p w:rsidR="00C7310C" w:rsidRPr="00491258" w:rsidRDefault="00C7310C">
            <w:pPr>
              <w:ind w:left="0"/>
              <w:rPr>
                <w:b/>
              </w:rPr>
            </w:pPr>
            <w:r w:rsidRPr="00491258">
              <w:rPr>
                <w:b/>
              </w:rPr>
              <w:t>Registrants</w:t>
            </w:r>
          </w:p>
        </w:tc>
      </w:tr>
      <w:tr w:rsidR="00C7310C" w:rsidTr="00C7310C">
        <w:tc>
          <w:tcPr>
            <w:tcW w:w="2160" w:type="dxa"/>
          </w:tcPr>
          <w:p w:rsidR="00C7310C" w:rsidRDefault="00C7310C">
            <w:pPr>
              <w:ind w:left="0"/>
            </w:pPr>
            <w:r>
              <w:t>1/19/15</w:t>
            </w:r>
          </w:p>
        </w:tc>
        <w:tc>
          <w:tcPr>
            <w:tcW w:w="5760" w:type="dxa"/>
          </w:tcPr>
          <w:p w:rsidR="00C7310C" w:rsidRDefault="00C7310C">
            <w:pPr>
              <w:ind w:left="0"/>
            </w:pPr>
            <w:r>
              <w:t>Applications of Native MS and High Resolution Mass Spectrometry for the Characterization of Biotherapeutic Molecules</w:t>
            </w:r>
          </w:p>
        </w:tc>
        <w:tc>
          <w:tcPr>
            <w:tcW w:w="1440" w:type="dxa"/>
          </w:tcPr>
          <w:p w:rsidR="00C7310C" w:rsidRDefault="00C7310C">
            <w:pPr>
              <w:ind w:left="0"/>
            </w:pPr>
            <w:r>
              <w:t>580</w:t>
            </w:r>
          </w:p>
        </w:tc>
      </w:tr>
      <w:tr w:rsidR="00C7310C" w:rsidTr="00C7310C">
        <w:tc>
          <w:tcPr>
            <w:tcW w:w="2160" w:type="dxa"/>
          </w:tcPr>
          <w:p w:rsidR="00C7310C" w:rsidRDefault="00C7310C">
            <w:pPr>
              <w:ind w:left="0"/>
            </w:pPr>
            <w:r>
              <w:t>2/17/15</w:t>
            </w:r>
          </w:p>
        </w:tc>
        <w:tc>
          <w:tcPr>
            <w:tcW w:w="5760" w:type="dxa"/>
          </w:tcPr>
          <w:p w:rsidR="00C7310C" w:rsidRDefault="00C7310C">
            <w:pPr>
              <w:ind w:left="0"/>
            </w:pPr>
            <w:r>
              <w:t>Accurate and Reproducible Determination of Organic Halogens Using Combustion Ion</w:t>
            </w:r>
          </w:p>
        </w:tc>
        <w:tc>
          <w:tcPr>
            <w:tcW w:w="1440" w:type="dxa"/>
          </w:tcPr>
          <w:p w:rsidR="00C7310C" w:rsidRDefault="00C7310C">
            <w:pPr>
              <w:ind w:left="0"/>
            </w:pPr>
            <w:r>
              <w:t>158</w:t>
            </w:r>
          </w:p>
        </w:tc>
      </w:tr>
      <w:tr w:rsidR="00C7310C" w:rsidTr="00C7310C">
        <w:tc>
          <w:tcPr>
            <w:tcW w:w="2160" w:type="dxa"/>
          </w:tcPr>
          <w:p w:rsidR="00C7310C" w:rsidRDefault="00C7310C">
            <w:pPr>
              <w:ind w:left="0"/>
            </w:pPr>
            <w:r>
              <w:t>2/18/15</w:t>
            </w:r>
          </w:p>
        </w:tc>
        <w:tc>
          <w:tcPr>
            <w:tcW w:w="5760" w:type="dxa"/>
          </w:tcPr>
          <w:p w:rsidR="00C7310C" w:rsidRDefault="00C7310C">
            <w:pPr>
              <w:ind w:left="0"/>
            </w:pPr>
            <w:r>
              <w:t>New 30-Minutes Webcast:  Improving Pesticide Residue Analysis with Advanced GC-MS Methods</w:t>
            </w:r>
          </w:p>
        </w:tc>
        <w:tc>
          <w:tcPr>
            <w:tcW w:w="1440" w:type="dxa"/>
          </w:tcPr>
          <w:p w:rsidR="00C7310C" w:rsidRDefault="00C7310C">
            <w:pPr>
              <w:ind w:left="0"/>
            </w:pPr>
            <w:r>
              <w:t>395</w:t>
            </w:r>
          </w:p>
        </w:tc>
      </w:tr>
      <w:tr w:rsidR="00C7310C" w:rsidTr="00C7310C">
        <w:tc>
          <w:tcPr>
            <w:tcW w:w="2160" w:type="dxa"/>
          </w:tcPr>
          <w:p w:rsidR="00C7310C" w:rsidRDefault="00C7310C">
            <w:pPr>
              <w:ind w:left="0"/>
            </w:pPr>
            <w:r>
              <w:t>2/25/15</w:t>
            </w:r>
          </w:p>
        </w:tc>
        <w:tc>
          <w:tcPr>
            <w:tcW w:w="5760" w:type="dxa"/>
          </w:tcPr>
          <w:p w:rsidR="00C7310C" w:rsidRDefault="00C7310C">
            <w:pPr>
              <w:ind w:left="0"/>
            </w:pPr>
            <w:r>
              <w:t>Triumphs and Challenges of High-Resolution Mass Spectrometry in Comprehensive Pesticide Residue Screens</w:t>
            </w:r>
          </w:p>
        </w:tc>
        <w:tc>
          <w:tcPr>
            <w:tcW w:w="1440" w:type="dxa"/>
          </w:tcPr>
          <w:p w:rsidR="00C7310C" w:rsidRDefault="00C7310C">
            <w:pPr>
              <w:ind w:left="0"/>
            </w:pPr>
            <w:r>
              <w:t>333</w:t>
            </w:r>
          </w:p>
        </w:tc>
      </w:tr>
      <w:tr w:rsidR="00C7310C" w:rsidTr="00C7310C">
        <w:tc>
          <w:tcPr>
            <w:tcW w:w="2160" w:type="dxa"/>
          </w:tcPr>
          <w:p w:rsidR="00C7310C" w:rsidRDefault="00C7310C">
            <w:pPr>
              <w:ind w:left="0"/>
            </w:pPr>
            <w:r>
              <w:t>3/24/15</w:t>
            </w:r>
          </w:p>
        </w:tc>
        <w:tc>
          <w:tcPr>
            <w:tcW w:w="5760" w:type="dxa"/>
          </w:tcPr>
          <w:p w:rsidR="00C7310C" w:rsidRDefault="00C7310C">
            <w:pPr>
              <w:ind w:left="0"/>
            </w:pPr>
            <w:r>
              <w:t>Sample Prep Tips and Tricks Using QuEChERS and Accelerated Solvent Extraction</w:t>
            </w:r>
          </w:p>
        </w:tc>
        <w:tc>
          <w:tcPr>
            <w:tcW w:w="1440" w:type="dxa"/>
          </w:tcPr>
          <w:p w:rsidR="00C7310C" w:rsidRDefault="00C7310C">
            <w:pPr>
              <w:ind w:left="0"/>
            </w:pPr>
            <w:r>
              <w:t>556</w:t>
            </w:r>
          </w:p>
        </w:tc>
      </w:tr>
      <w:tr w:rsidR="00C7310C" w:rsidTr="00C7310C">
        <w:tc>
          <w:tcPr>
            <w:tcW w:w="2160" w:type="dxa"/>
          </w:tcPr>
          <w:p w:rsidR="00C7310C" w:rsidRDefault="00C7310C">
            <w:pPr>
              <w:ind w:left="0"/>
            </w:pPr>
            <w:r>
              <w:t>3/25/15</w:t>
            </w:r>
          </w:p>
        </w:tc>
        <w:tc>
          <w:tcPr>
            <w:tcW w:w="5760" w:type="dxa"/>
          </w:tcPr>
          <w:p w:rsidR="00C7310C" w:rsidRDefault="00C7310C">
            <w:pPr>
              <w:ind w:left="0"/>
            </w:pPr>
            <w:r>
              <w:t>The EU Water Framework Directive:  Analytical Challenges for Trace Element Measurement in Variable Matrix Samples</w:t>
            </w:r>
          </w:p>
        </w:tc>
        <w:tc>
          <w:tcPr>
            <w:tcW w:w="1440" w:type="dxa"/>
          </w:tcPr>
          <w:p w:rsidR="00C7310C" w:rsidRDefault="00C7310C">
            <w:pPr>
              <w:ind w:left="0"/>
            </w:pPr>
            <w:r>
              <w:t>250</w:t>
            </w:r>
          </w:p>
        </w:tc>
      </w:tr>
      <w:tr w:rsidR="00C7310C" w:rsidTr="00C7310C">
        <w:tc>
          <w:tcPr>
            <w:tcW w:w="2160" w:type="dxa"/>
          </w:tcPr>
          <w:p w:rsidR="00C7310C" w:rsidRDefault="00C7310C">
            <w:pPr>
              <w:ind w:left="0"/>
            </w:pPr>
            <w:r>
              <w:t>4/2/15</w:t>
            </w:r>
          </w:p>
        </w:tc>
        <w:tc>
          <w:tcPr>
            <w:tcW w:w="5760" w:type="dxa"/>
          </w:tcPr>
          <w:p w:rsidR="00C7310C" w:rsidRDefault="00C7310C">
            <w:pPr>
              <w:ind w:left="0"/>
            </w:pPr>
            <w:r>
              <w:t>Simplifying Carbohydrate Testing in Food and Beverages to Meet Food Quality and Labeling Requirements Using Ion Chromatography and Pulsed Amperometric Detection</w:t>
            </w:r>
          </w:p>
        </w:tc>
        <w:tc>
          <w:tcPr>
            <w:tcW w:w="1440" w:type="dxa"/>
          </w:tcPr>
          <w:p w:rsidR="00C7310C" w:rsidRDefault="00C7310C">
            <w:pPr>
              <w:ind w:left="0"/>
            </w:pPr>
            <w:r>
              <w:t>265</w:t>
            </w:r>
          </w:p>
        </w:tc>
      </w:tr>
      <w:tr w:rsidR="00C7310C" w:rsidTr="00C7310C">
        <w:tc>
          <w:tcPr>
            <w:tcW w:w="2160" w:type="dxa"/>
          </w:tcPr>
          <w:p w:rsidR="00C7310C" w:rsidRDefault="00C7310C">
            <w:pPr>
              <w:ind w:left="0"/>
            </w:pPr>
            <w:r>
              <w:t>4/14/15</w:t>
            </w:r>
          </w:p>
        </w:tc>
        <w:tc>
          <w:tcPr>
            <w:tcW w:w="5760" w:type="dxa"/>
          </w:tcPr>
          <w:p w:rsidR="00C7310C" w:rsidRDefault="00C7310C">
            <w:pPr>
              <w:ind w:left="0"/>
            </w:pPr>
            <w:r>
              <w:t>Improve Analysis Precision for ICP-OES and ICP-MS for Environmental and Geological Applications</w:t>
            </w:r>
          </w:p>
        </w:tc>
        <w:tc>
          <w:tcPr>
            <w:tcW w:w="1440" w:type="dxa"/>
          </w:tcPr>
          <w:p w:rsidR="00C7310C" w:rsidRDefault="00C7310C">
            <w:pPr>
              <w:ind w:left="0"/>
            </w:pPr>
            <w:r>
              <w:t>652</w:t>
            </w:r>
          </w:p>
        </w:tc>
      </w:tr>
      <w:tr w:rsidR="00C7310C" w:rsidTr="00C7310C">
        <w:tc>
          <w:tcPr>
            <w:tcW w:w="2160" w:type="dxa"/>
          </w:tcPr>
          <w:p w:rsidR="00C7310C" w:rsidRDefault="00C7310C">
            <w:pPr>
              <w:ind w:left="0"/>
            </w:pPr>
            <w:r>
              <w:t>4/28/15</w:t>
            </w:r>
          </w:p>
        </w:tc>
        <w:tc>
          <w:tcPr>
            <w:tcW w:w="5760" w:type="dxa"/>
          </w:tcPr>
          <w:p w:rsidR="00C7310C" w:rsidRDefault="00C7310C">
            <w:pPr>
              <w:ind w:left="0"/>
            </w:pPr>
            <w:r>
              <w:t>Demystifying Sample Preparation for Trace Metal Analysis:  How Automation Can Make Light Work of the Sample-to-Results Workflow</w:t>
            </w:r>
          </w:p>
        </w:tc>
        <w:tc>
          <w:tcPr>
            <w:tcW w:w="1440" w:type="dxa"/>
          </w:tcPr>
          <w:p w:rsidR="00C7310C" w:rsidRDefault="00C7310C">
            <w:pPr>
              <w:ind w:left="0"/>
            </w:pPr>
            <w:r>
              <w:t>356</w:t>
            </w:r>
          </w:p>
        </w:tc>
      </w:tr>
      <w:tr w:rsidR="00C7310C" w:rsidTr="00C7310C">
        <w:tc>
          <w:tcPr>
            <w:tcW w:w="2160" w:type="dxa"/>
          </w:tcPr>
          <w:p w:rsidR="00C7310C" w:rsidRDefault="00C7310C">
            <w:pPr>
              <w:ind w:left="0"/>
            </w:pPr>
            <w:r>
              <w:t>4/29/15</w:t>
            </w:r>
          </w:p>
        </w:tc>
        <w:tc>
          <w:tcPr>
            <w:tcW w:w="5760" w:type="dxa"/>
          </w:tcPr>
          <w:p w:rsidR="00C7310C" w:rsidRDefault="00C7310C">
            <w:pPr>
              <w:ind w:left="0"/>
            </w:pPr>
            <w:r>
              <w:t>Workflow Guide for the use of LC-MS</w:t>
            </w:r>
          </w:p>
        </w:tc>
        <w:tc>
          <w:tcPr>
            <w:tcW w:w="1440" w:type="dxa"/>
          </w:tcPr>
          <w:p w:rsidR="00C7310C" w:rsidRDefault="00C7310C">
            <w:pPr>
              <w:ind w:left="0"/>
            </w:pPr>
            <w:r>
              <w:t>523</w:t>
            </w:r>
          </w:p>
        </w:tc>
      </w:tr>
      <w:tr w:rsidR="00C7310C" w:rsidTr="00C7310C">
        <w:tc>
          <w:tcPr>
            <w:tcW w:w="2160" w:type="dxa"/>
          </w:tcPr>
          <w:p w:rsidR="00C7310C" w:rsidRDefault="00C7310C">
            <w:pPr>
              <w:ind w:left="0"/>
            </w:pPr>
            <w:r>
              <w:t>5/7/15</w:t>
            </w:r>
          </w:p>
        </w:tc>
        <w:tc>
          <w:tcPr>
            <w:tcW w:w="5760" w:type="dxa"/>
          </w:tcPr>
          <w:p w:rsidR="00C7310C" w:rsidRDefault="00C7310C">
            <w:pPr>
              <w:ind w:left="0"/>
            </w:pPr>
            <w:r>
              <w:t>HRMS in Clinical Research:  from Targeted Quantification to Metabolomics</w:t>
            </w:r>
          </w:p>
        </w:tc>
        <w:tc>
          <w:tcPr>
            <w:tcW w:w="1440" w:type="dxa"/>
          </w:tcPr>
          <w:p w:rsidR="00C7310C" w:rsidRDefault="00C7310C">
            <w:pPr>
              <w:ind w:left="0"/>
            </w:pPr>
            <w:r>
              <w:t>467</w:t>
            </w:r>
          </w:p>
        </w:tc>
      </w:tr>
      <w:tr w:rsidR="00C7310C" w:rsidTr="00C7310C">
        <w:tc>
          <w:tcPr>
            <w:tcW w:w="2160" w:type="dxa"/>
          </w:tcPr>
          <w:p w:rsidR="00C7310C" w:rsidRDefault="00C7310C">
            <w:pPr>
              <w:ind w:left="0"/>
            </w:pPr>
            <w:r>
              <w:t>6/11/15</w:t>
            </w:r>
          </w:p>
        </w:tc>
        <w:tc>
          <w:tcPr>
            <w:tcW w:w="5760" w:type="dxa"/>
          </w:tcPr>
          <w:p w:rsidR="00C7310C" w:rsidRDefault="00C7310C">
            <w:pPr>
              <w:ind w:left="0"/>
            </w:pPr>
            <w:r>
              <w:t>Fast and Accurate Sugar, Acid and Sulfilte Analysis Using Automated Discrete Analyzers</w:t>
            </w:r>
          </w:p>
        </w:tc>
        <w:tc>
          <w:tcPr>
            <w:tcW w:w="1440" w:type="dxa"/>
          </w:tcPr>
          <w:p w:rsidR="00C7310C" w:rsidRDefault="007A2135">
            <w:pPr>
              <w:ind w:left="0"/>
            </w:pPr>
            <w:r>
              <w:t>333</w:t>
            </w:r>
          </w:p>
        </w:tc>
      </w:tr>
      <w:tr w:rsidR="00C7310C" w:rsidTr="00C7310C">
        <w:tc>
          <w:tcPr>
            <w:tcW w:w="2160" w:type="dxa"/>
          </w:tcPr>
          <w:p w:rsidR="00C7310C" w:rsidRDefault="00C7310C">
            <w:pPr>
              <w:ind w:left="0"/>
            </w:pPr>
            <w:r>
              <w:t>6/17/15</w:t>
            </w:r>
          </w:p>
        </w:tc>
        <w:tc>
          <w:tcPr>
            <w:tcW w:w="5760" w:type="dxa"/>
          </w:tcPr>
          <w:p w:rsidR="00C7310C" w:rsidRDefault="00C7310C">
            <w:pPr>
              <w:ind w:left="0"/>
            </w:pPr>
            <w:r>
              <w:t>Maximizing Analysis Efficiency through New GC-MS Approaches</w:t>
            </w:r>
          </w:p>
        </w:tc>
        <w:tc>
          <w:tcPr>
            <w:tcW w:w="1440" w:type="dxa"/>
          </w:tcPr>
          <w:p w:rsidR="00C7310C" w:rsidRDefault="00C7310C">
            <w:pPr>
              <w:ind w:left="0"/>
            </w:pPr>
            <w:r>
              <w:t>567</w:t>
            </w:r>
          </w:p>
        </w:tc>
      </w:tr>
    </w:tbl>
    <w:p w:rsidR="00BC6320" w:rsidRDefault="00BC6320"/>
    <w:p w:rsidR="007A2135" w:rsidRDefault="007A2135"/>
    <w:p w:rsidR="007A2135" w:rsidRDefault="007A2135">
      <w:r>
        <w:t>Average 416 registrants</w:t>
      </w:r>
    </w:p>
    <w:sectPr w:rsidR="007A2135" w:rsidSect="00BC63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defaultTabStop w:val="720"/>
  <w:characterSpacingControl w:val="doNotCompress"/>
  <w:compat/>
  <w:rsids>
    <w:rsidRoot w:val="00C7310C"/>
    <w:rsid w:val="000211D8"/>
    <w:rsid w:val="000351CF"/>
    <w:rsid w:val="00043D29"/>
    <w:rsid w:val="00053C6C"/>
    <w:rsid w:val="00054861"/>
    <w:rsid w:val="00094B5C"/>
    <w:rsid w:val="000B579A"/>
    <w:rsid w:val="000D372A"/>
    <w:rsid w:val="000F71A2"/>
    <w:rsid w:val="00100D4F"/>
    <w:rsid w:val="00106B3D"/>
    <w:rsid w:val="00140051"/>
    <w:rsid w:val="00164F38"/>
    <w:rsid w:val="001D2B36"/>
    <w:rsid w:val="001D4B0F"/>
    <w:rsid w:val="001D65D2"/>
    <w:rsid w:val="00211D4F"/>
    <w:rsid w:val="00216790"/>
    <w:rsid w:val="00226D3D"/>
    <w:rsid w:val="002368CA"/>
    <w:rsid w:val="002379B8"/>
    <w:rsid w:val="00250AB8"/>
    <w:rsid w:val="00260999"/>
    <w:rsid w:val="002A651B"/>
    <w:rsid w:val="002B00F5"/>
    <w:rsid w:val="002D57ED"/>
    <w:rsid w:val="002E5BE0"/>
    <w:rsid w:val="002F123A"/>
    <w:rsid w:val="002F2BCD"/>
    <w:rsid w:val="003147A5"/>
    <w:rsid w:val="00337CB1"/>
    <w:rsid w:val="00342243"/>
    <w:rsid w:val="00344D02"/>
    <w:rsid w:val="00393F83"/>
    <w:rsid w:val="0039753D"/>
    <w:rsid w:val="003A4AF0"/>
    <w:rsid w:val="003C7134"/>
    <w:rsid w:val="00400070"/>
    <w:rsid w:val="004029D5"/>
    <w:rsid w:val="004148C1"/>
    <w:rsid w:val="00421A58"/>
    <w:rsid w:val="00452AAE"/>
    <w:rsid w:val="00491258"/>
    <w:rsid w:val="00493BD6"/>
    <w:rsid w:val="004A307F"/>
    <w:rsid w:val="004F0C00"/>
    <w:rsid w:val="00513B59"/>
    <w:rsid w:val="00515F6F"/>
    <w:rsid w:val="0054122C"/>
    <w:rsid w:val="00544FE9"/>
    <w:rsid w:val="00553A09"/>
    <w:rsid w:val="00562ADA"/>
    <w:rsid w:val="005820E5"/>
    <w:rsid w:val="005945BB"/>
    <w:rsid w:val="005A0965"/>
    <w:rsid w:val="005B2D0B"/>
    <w:rsid w:val="005C2DB7"/>
    <w:rsid w:val="005C5938"/>
    <w:rsid w:val="005C7D87"/>
    <w:rsid w:val="005E48C7"/>
    <w:rsid w:val="005F5A8F"/>
    <w:rsid w:val="006552C6"/>
    <w:rsid w:val="006851F4"/>
    <w:rsid w:val="00691FA2"/>
    <w:rsid w:val="00693140"/>
    <w:rsid w:val="006B2C59"/>
    <w:rsid w:val="006B710D"/>
    <w:rsid w:val="006E2347"/>
    <w:rsid w:val="006F1F51"/>
    <w:rsid w:val="00701FA7"/>
    <w:rsid w:val="00723BC5"/>
    <w:rsid w:val="00761932"/>
    <w:rsid w:val="007A2135"/>
    <w:rsid w:val="007B6A75"/>
    <w:rsid w:val="007B6F4A"/>
    <w:rsid w:val="007D3479"/>
    <w:rsid w:val="007F7EA4"/>
    <w:rsid w:val="00802CEC"/>
    <w:rsid w:val="00853ED1"/>
    <w:rsid w:val="0085606C"/>
    <w:rsid w:val="008628AD"/>
    <w:rsid w:val="0086583E"/>
    <w:rsid w:val="00874F7D"/>
    <w:rsid w:val="008A3A1D"/>
    <w:rsid w:val="008C1AE1"/>
    <w:rsid w:val="008C2A08"/>
    <w:rsid w:val="008C2CB1"/>
    <w:rsid w:val="008D15EB"/>
    <w:rsid w:val="008D6B1E"/>
    <w:rsid w:val="008F6C5E"/>
    <w:rsid w:val="009027E0"/>
    <w:rsid w:val="009036B5"/>
    <w:rsid w:val="00915D5F"/>
    <w:rsid w:val="00934720"/>
    <w:rsid w:val="00940E6C"/>
    <w:rsid w:val="009475AD"/>
    <w:rsid w:val="00955E43"/>
    <w:rsid w:val="0096607D"/>
    <w:rsid w:val="0096741A"/>
    <w:rsid w:val="009716DD"/>
    <w:rsid w:val="0098113F"/>
    <w:rsid w:val="009D6FEA"/>
    <w:rsid w:val="00A02489"/>
    <w:rsid w:val="00A026E3"/>
    <w:rsid w:val="00A1482A"/>
    <w:rsid w:val="00A22F52"/>
    <w:rsid w:val="00A3389D"/>
    <w:rsid w:val="00A5766D"/>
    <w:rsid w:val="00A808A2"/>
    <w:rsid w:val="00A827E2"/>
    <w:rsid w:val="00AA6CDE"/>
    <w:rsid w:val="00AB086A"/>
    <w:rsid w:val="00AF214E"/>
    <w:rsid w:val="00B207FF"/>
    <w:rsid w:val="00B45A95"/>
    <w:rsid w:val="00B5265A"/>
    <w:rsid w:val="00B52FA8"/>
    <w:rsid w:val="00B67218"/>
    <w:rsid w:val="00B97819"/>
    <w:rsid w:val="00BC260D"/>
    <w:rsid w:val="00BC6320"/>
    <w:rsid w:val="00C266D5"/>
    <w:rsid w:val="00C54D2C"/>
    <w:rsid w:val="00C7310C"/>
    <w:rsid w:val="00CA6E4E"/>
    <w:rsid w:val="00CE4A03"/>
    <w:rsid w:val="00CE5DBE"/>
    <w:rsid w:val="00D3568A"/>
    <w:rsid w:val="00D40199"/>
    <w:rsid w:val="00D66D1C"/>
    <w:rsid w:val="00D87A40"/>
    <w:rsid w:val="00D90A1E"/>
    <w:rsid w:val="00DB56A8"/>
    <w:rsid w:val="00DE2CCA"/>
    <w:rsid w:val="00E04380"/>
    <w:rsid w:val="00E06FDB"/>
    <w:rsid w:val="00E11B11"/>
    <w:rsid w:val="00E140E6"/>
    <w:rsid w:val="00E243DB"/>
    <w:rsid w:val="00E314DD"/>
    <w:rsid w:val="00E32781"/>
    <w:rsid w:val="00E4073D"/>
    <w:rsid w:val="00EE6A84"/>
    <w:rsid w:val="00F065DC"/>
    <w:rsid w:val="00F3043D"/>
    <w:rsid w:val="00F512BB"/>
    <w:rsid w:val="00F85C19"/>
    <w:rsid w:val="00F954A1"/>
    <w:rsid w:val="00FB4659"/>
    <w:rsid w:val="00FC2F67"/>
    <w:rsid w:val="00FE3B4F"/>
    <w:rsid w:val="00FF4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15" w:right="11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3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1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Advanstar Communications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bsefchick</dc:creator>
  <cp:lastModifiedBy>efantuzzi</cp:lastModifiedBy>
  <cp:revision>2</cp:revision>
  <dcterms:created xsi:type="dcterms:W3CDTF">2015-06-19T15:05:00Z</dcterms:created>
  <dcterms:modified xsi:type="dcterms:W3CDTF">2015-06-19T15:29:00Z</dcterms:modified>
</cp:coreProperties>
</file>