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AA6F" w14:textId="77777777" w:rsidR="00877455" w:rsidRDefault="001374CA" w:rsidP="00CC62D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pict w14:anchorId="7749D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6.95pt">
            <v:imagedata r:id="rId7" o:title="new logo registered CMYK"/>
          </v:shape>
        </w:pict>
      </w:r>
    </w:p>
    <w:p w14:paraId="778024D6" w14:textId="77777777" w:rsidR="007272D0" w:rsidRPr="007272D0" w:rsidRDefault="007272D0" w:rsidP="007272D0">
      <w:pPr>
        <w:rPr>
          <w:sz w:val="28"/>
          <w:szCs w:val="28"/>
        </w:rPr>
      </w:pPr>
      <w:r>
        <w:rPr>
          <w:b/>
          <w:sz w:val="36"/>
          <w:szCs w:val="36"/>
          <w:u w:val="single"/>
        </w:rPr>
        <w:t>Subject line</w:t>
      </w:r>
      <w:r w:rsidR="001D2801" w:rsidRPr="00F97EE9">
        <w:rPr>
          <w:b/>
          <w:sz w:val="36"/>
          <w:szCs w:val="36"/>
          <w:u w:val="single"/>
        </w:rPr>
        <w:t>:</w:t>
      </w:r>
      <w:r w:rsidR="00CC62D2">
        <w:rPr>
          <w:b/>
          <w:sz w:val="36"/>
          <w:szCs w:val="36"/>
          <w:u w:val="single"/>
        </w:rPr>
        <w:t xml:space="preserve">  </w:t>
      </w:r>
      <w:r w:rsidRPr="00063306">
        <w:rPr>
          <w:b/>
          <w:sz w:val="28"/>
          <w:szCs w:val="28"/>
        </w:rPr>
        <w:t>Valve technology for c</w:t>
      </w:r>
      <w:r w:rsidR="00FC7AB5" w:rsidRPr="00063306">
        <w:rPr>
          <w:b/>
          <w:sz w:val="28"/>
          <w:szCs w:val="28"/>
        </w:rPr>
        <w:t xml:space="preserve">losed </w:t>
      </w:r>
      <w:r w:rsidRPr="00063306">
        <w:rPr>
          <w:b/>
          <w:sz w:val="28"/>
          <w:szCs w:val="28"/>
        </w:rPr>
        <w:t>f</w:t>
      </w:r>
      <w:r w:rsidR="009644B5" w:rsidRPr="00063306">
        <w:rPr>
          <w:b/>
          <w:sz w:val="28"/>
          <w:szCs w:val="28"/>
        </w:rPr>
        <w:t xml:space="preserve">luid </w:t>
      </w:r>
      <w:r w:rsidRPr="00063306">
        <w:rPr>
          <w:b/>
          <w:sz w:val="28"/>
          <w:szCs w:val="28"/>
        </w:rPr>
        <w:t>d</w:t>
      </w:r>
      <w:r w:rsidR="009644B5" w:rsidRPr="00063306">
        <w:rPr>
          <w:b/>
          <w:sz w:val="28"/>
          <w:szCs w:val="28"/>
        </w:rPr>
        <w:t>elivery</w:t>
      </w:r>
      <w:r w:rsidR="009644B5" w:rsidRPr="007272D0">
        <w:rPr>
          <w:sz w:val="28"/>
          <w:szCs w:val="28"/>
        </w:rPr>
        <w:t xml:space="preserve"> </w:t>
      </w:r>
    </w:p>
    <w:p w14:paraId="0A120EA5" w14:textId="77777777" w:rsidR="00F97EE9" w:rsidRDefault="00F97EE9" w:rsidP="00F97EE9">
      <w:pPr>
        <w:rPr>
          <w:sz w:val="28"/>
          <w:szCs w:val="28"/>
        </w:rPr>
      </w:pPr>
      <w:r>
        <w:rPr>
          <w:sz w:val="28"/>
          <w:szCs w:val="28"/>
        </w:rPr>
        <w:t xml:space="preserve">The home healthcare market is rapidly growing and is forecasted to continue to grow at a CAGR of </w:t>
      </w:r>
      <w:r w:rsidR="00827794">
        <w:rPr>
          <w:sz w:val="28"/>
          <w:szCs w:val="28"/>
        </w:rPr>
        <w:t>8-</w:t>
      </w:r>
      <w:r>
        <w:rPr>
          <w:sz w:val="28"/>
          <w:szCs w:val="28"/>
        </w:rPr>
        <w:t xml:space="preserve">9% over the next five years. </w:t>
      </w:r>
      <w:r w:rsidR="00827794">
        <w:rPr>
          <w:sz w:val="28"/>
          <w:szCs w:val="28"/>
        </w:rPr>
        <w:t>The delivery of fluid</w:t>
      </w:r>
      <w:r w:rsidR="00B55802">
        <w:rPr>
          <w:sz w:val="28"/>
          <w:szCs w:val="28"/>
        </w:rPr>
        <w:t>s</w:t>
      </w:r>
      <w:r w:rsidR="00827794">
        <w:rPr>
          <w:sz w:val="28"/>
          <w:szCs w:val="28"/>
        </w:rPr>
        <w:t xml:space="preserve"> to and from the </w:t>
      </w:r>
      <w:r w:rsidR="00B55802">
        <w:rPr>
          <w:sz w:val="28"/>
          <w:szCs w:val="28"/>
        </w:rPr>
        <w:t>patient in applications such as</w:t>
      </w:r>
      <w:r w:rsidR="00827794">
        <w:rPr>
          <w:sz w:val="28"/>
          <w:szCs w:val="28"/>
        </w:rPr>
        <w:t xml:space="preserve"> infusion, drainage and dialysis are </w:t>
      </w:r>
      <w:r w:rsidR="00B55802">
        <w:rPr>
          <w:sz w:val="28"/>
          <w:szCs w:val="28"/>
        </w:rPr>
        <w:t>increasingly being done at home. The need to make these procedures safe and easy for the home care setting can be a challenge with respect to infection control</w:t>
      </w:r>
      <w:r w:rsidR="009644B5">
        <w:rPr>
          <w:sz w:val="28"/>
          <w:szCs w:val="28"/>
        </w:rPr>
        <w:t xml:space="preserve"> and </w:t>
      </w:r>
      <w:r w:rsidR="00B55802">
        <w:rPr>
          <w:sz w:val="28"/>
          <w:szCs w:val="28"/>
        </w:rPr>
        <w:t>exposure to hazardous fluids (drugs and bodily fluids)</w:t>
      </w:r>
      <w:r w:rsidR="007904D8">
        <w:rPr>
          <w:sz w:val="28"/>
          <w:szCs w:val="28"/>
        </w:rPr>
        <w:t>. The introduction of easy to use closed fluid delivery systems will help to reduce and eliminate some of these hazards.</w:t>
      </w:r>
    </w:p>
    <w:p w14:paraId="71C88ECE" w14:textId="77777777" w:rsidR="00EB416D" w:rsidRPr="00F97EE9" w:rsidRDefault="00EB416D" w:rsidP="00F97EE9">
      <w:pPr>
        <w:rPr>
          <w:sz w:val="28"/>
          <w:szCs w:val="28"/>
        </w:rPr>
      </w:pPr>
      <w:r>
        <w:rPr>
          <w:sz w:val="28"/>
          <w:szCs w:val="28"/>
        </w:rPr>
        <w:t>In the hospital setting, the issues are similar with an empha</w:t>
      </w:r>
      <w:r w:rsidR="00F50934">
        <w:rPr>
          <w:sz w:val="28"/>
          <w:szCs w:val="28"/>
        </w:rPr>
        <w:t>sis on reducing infection rates,</w:t>
      </w:r>
      <w:r>
        <w:rPr>
          <w:sz w:val="28"/>
          <w:szCs w:val="28"/>
        </w:rPr>
        <w:t xml:space="preserve"> minimizing exposure to hazardous drugs</w:t>
      </w:r>
      <w:r w:rsidR="00F50934">
        <w:rPr>
          <w:sz w:val="28"/>
          <w:szCs w:val="28"/>
        </w:rPr>
        <w:t xml:space="preserve"> and bodily fluids</w:t>
      </w:r>
      <w:r>
        <w:rPr>
          <w:sz w:val="28"/>
          <w:szCs w:val="28"/>
        </w:rPr>
        <w:t>.</w:t>
      </w:r>
      <w:r w:rsidR="00877455" w:rsidRPr="00877455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There is also a </w:t>
      </w:r>
      <w:r w:rsidR="00877455">
        <w:rPr>
          <w:sz w:val="28"/>
          <w:szCs w:val="28"/>
        </w:rPr>
        <w:t>workload</w:t>
      </w:r>
      <w:r>
        <w:rPr>
          <w:sz w:val="28"/>
          <w:szCs w:val="28"/>
        </w:rPr>
        <w:t xml:space="preserve"> component that can be addressed with making these fluid delivery systems more convenient and easier to use.</w:t>
      </w:r>
      <w:r w:rsidR="007D6057" w:rsidRPr="007D6057">
        <w:rPr>
          <w:noProof/>
          <w:sz w:val="28"/>
          <w:szCs w:val="28"/>
        </w:rPr>
        <w:t xml:space="preserve"> </w:t>
      </w:r>
    </w:p>
    <w:p w14:paraId="361B5DE3" w14:textId="77777777" w:rsidR="008650B1" w:rsidRDefault="00806BA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265B00" wp14:editId="687DEDA2">
            <wp:simplePos x="0" y="0"/>
            <wp:positionH relativeFrom="margin">
              <wp:posOffset>-180975</wp:posOffset>
            </wp:positionH>
            <wp:positionV relativeFrom="paragraph">
              <wp:posOffset>1100455</wp:posOffset>
            </wp:positionV>
            <wp:extent cx="2589530" cy="3054350"/>
            <wp:effectExtent l="0" t="0" r="1270" b="0"/>
            <wp:wrapTopAndBottom/>
            <wp:docPr id="5" name="Picture 5" descr="C:\Users\sbello\AppData\Local\Microsoft\Windows\INetCache\Content.Word\empty bag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bello\AppData\Local\Microsoft\Windows\INetCache\Content.Word\empty bag 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BB">
        <w:rPr>
          <w:sz w:val="28"/>
          <w:szCs w:val="28"/>
        </w:rPr>
        <w:t xml:space="preserve">The integration of a </w:t>
      </w:r>
      <w:r w:rsidR="007272D0">
        <w:rPr>
          <w:sz w:val="28"/>
          <w:szCs w:val="28"/>
        </w:rPr>
        <w:t>split septum</w:t>
      </w:r>
      <w:r w:rsidR="00C90529">
        <w:rPr>
          <w:sz w:val="28"/>
          <w:szCs w:val="28"/>
        </w:rPr>
        <w:t xml:space="preserve"> luer </w:t>
      </w:r>
      <w:r w:rsidR="007272D0">
        <w:rPr>
          <w:sz w:val="28"/>
          <w:szCs w:val="28"/>
        </w:rPr>
        <w:t xml:space="preserve">activated </w:t>
      </w:r>
      <w:r w:rsidR="002C71BB">
        <w:rPr>
          <w:sz w:val="28"/>
          <w:szCs w:val="28"/>
        </w:rPr>
        <w:t xml:space="preserve">valve system into the fluid delivery devices such as IV bags </w:t>
      </w:r>
      <w:r w:rsidR="001751AA">
        <w:rPr>
          <w:sz w:val="28"/>
          <w:szCs w:val="28"/>
        </w:rPr>
        <w:t xml:space="preserve">can help eliminate accidental spills and enhance ease-of-use for both the clinician and home care </w:t>
      </w:r>
      <w:r w:rsidR="0005553F">
        <w:rPr>
          <w:sz w:val="28"/>
          <w:szCs w:val="28"/>
        </w:rPr>
        <w:t xml:space="preserve">patient or caregiver. </w:t>
      </w:r>
    </w:p>
    <w:p w14:paraId="52ED9A6A" w14:textId="77777777" w:rsidR="0051532F" w:rsidRDefault="00806BA2">
      <w:pPr>
        <w:rPr>
          <w:sz w:val="28"/>
          <w:szCs w:val="28"/>
        </w:rPr>
      </w:pPr>
      <w:r w:rsidRPr="007D605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124980" wp14:editId="529A91AF">
            <wp:simplePos x="0" y="0"/>
            <wp:positionH relativeFrom="margin">
              <wp:posOffset>1675765</wp:posOffset>
            </wp:positionH>
            <wp:positionV relativeFrom="paragraph">
              <wp:posOffset>1225550</wp:posOffset>
            </wp:positionV>
            <wp:extent cx="2713990" cy="1504315"/>
            <wp:effectExtent l="0" t="4763" r="5398" b="5397"/>
            <wp:wrapTopAndBottom/>
            <wp:docPr id="6" name="Picture 6" descr="\\hrc-fs26\Home\sbello\Personal\web site\Medical renderings\245112024_012420 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hrc-fs26\Home\sbello\Personal\web site\Medical renderings\245112024_012420 ren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399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05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D3CCC8" wp14:editId="6E63BED7">
            <wp:simplePos x="0" y="0"/>
            <wp:positionH relativeFrom="column">
              <wp:posOffset>3482975</wp:posOffset>
            </wp:positionH>
            <wp:positionV relativeFrom="paragraph">
              <wp:posOffset>1509395</wp:posOffset>
            </wp:positionV>
            <wp:extent cx="1842770" cy="1036320"/>
            <wp:effectExtent l="269875" t="130175" r="313055" b="141605"/>
            <wp:wrapTopAndBottom/>
            <wp:docPr id="7" name="Picture 7" descr="\\hrc-fs26\Home\sbello\Personal\web site\Medical renderings\245110524R_050720 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hrc-fs26\Home\sbello\Personal\web site\Medical renderings\245110524R_050720 rend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23573">
                      <a:off x="0" y="0"/>
                      <a:ext cx="18427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05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9D2210" wp14:editId="3E307F47">
            <wp:simplePos x="0" y="0"/>
            <wp:positionH relativeFrom="page">
              <wp:align>right</wp:align>
            </wp:positionH>
            <wp:positionV relativeFrom="paragraph">
              <wp:posOffset>1293495</wp:posOffset>
            </wp:positionV>
            <wp:extent cx="2406650" cy="1353185"/>
            <wp:effectExtent l="412432" t="178118" r="425133" b="177482"/>
            <wp:wrapTopAndBottom/>
            <wp:docPr id="8" name="Picture 8" descr="\\hrc-fs26\Home\sbello\Personal\web site\Medical renderings\245504024_012820 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hrc-fs26\Home\sbello\Personal\web site\Medical renderings\245504024_012820 rend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29700">
                      <a:off x="0" y="0"/>
                      <a:ext cx="240665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9C342" w14:textId="77777777" w:rsidR="003D2AEE" w:rsidRDefault="003D2AEE">
      <w:pPr>
        <w:rPr>
          <w:b/>
          <w:sz w:val="28"/>
          <w:szCs w:val="28"/>
          <w:u w:val="single"/>
        </w:rPr>
      </w:pPr>
      <w:r w:rsidRPr="00BB51B1">
        <w:rPr>
          <w:b/>
          <w:sz w:val="28"/>
          <w:szCs w:val="28"/>
          <w:u w:val="single"/>
        </w:rPr>
        <w:lastRenderedPageBreak/>
        <w:t xml:space="preserve">Accidental </w:t>
      </w:r>
      <w:r w:rsidR="009A7DD4">
        <w:rPr>
          <w:b/>
          <w:sz w:val="28"/>
          <w:szCs w:val="28"/>
          <w:u w:val="single"/>
        </w:rPr>
        <w:t>D</w:t>
      </w:r>
      <w:r w:rsidR="009A7DD4" w:rsidRPr="00BB51B1">
        <w:rPr>
          <w:b/>
          <w:sz w:val="28"/>
          <w:szCs w:val="28"/>
          <w:u w:val="single"/>
        </w:rPr>
        <w:t>isconnections</w:t>
      </w:r>
      <w:r w:rsidR="0098197F">
        <w:rPr>
          <w:b/>
          <w:sz w:val="28"/>
          <w:szCs w:val="28"/>
          <w:u w:val="single"/>
        </w:rPr>
        <w:t>/Infection control</w:t>
      </w:r>
    </w:p>
    <w:p w14:paraId="28D459EC" w14:textId="77777777" w:rsidR="00BB51B1" w:rsidRPr="00BB51B1" w:rsidRDefault="00BB51B1">
      <w:pPr>
        <w:rPr>
          <w:sz w:val="28"/>
          <w:szCs w:val="28"/>
        </w:rPr>
      </w:pPr>
      <w:r>
        <w:rPr>
          <w:sz w:val="28"/>
          <w:szCs w:val="28"/>
        </w:rPr>
        <w:t xml:space="preserve">Preventing fluid leakage has both safety and monetary consequences. </w:t>
      </w:r>
      <w:r w:rsidR="0098197F">
        <w:rPr>
          <w:sz w:val="28"/>
          <w:szCs w:val="28"/>
        </w:rPr>
        <w:t>Reducing exposure to biohazardous fluids and chemotherapeutic drugs is a huge safety concern but there is also a cost to these events such as clean up, exposure to patients</w:t>
      </w:r>
      <w:r w:rsidR="00C11C47">
        <w:rPr>
          <w:sz w:val="28"/>
          <w:szCs w:val="28"/>
        </w:rPr>
        <w:t>/</w:t>
      </w:r>
      <w:r w:rsidR="0098197F">
        <w:rPr>
          <w:sz w:val="28"/>
          <w:szCs w:val="28"/>
        </w:rPr>
        <w:t>clinicians and regulatory reporting such as OSHA</w:t>
      </w:r>
      <w:r w:rsidR="009A7DD4">
        <w:rPr>
          <w:sz w:val="28"/>
          <w:szCs w:val="28"/>
        </w:rPr>
        <w:t>,</w:t>
      </w:r>
      <w:r w:rsidR="0098197F">
        <w:rPr>
          <w:sz w:val="28"/>
          <w:szCs w:val="28"/>
        </w:rPr>
        <w:t xml:space="preserve"> etc. Another cost component is the expense of the drug/medication itself. Chemo drugs and antibiotics can cost several hundred to several thousand dollars per infusion. Having a leakage problem due to spiking issues or tubing set failure can lead to sterility issues that can cause infections. Having to discard several thousand dollars of </w:t>
      </w:r>
      <w:r w:rsidR="0005553F">
        <w:rPr>
          <w:sz w:val="28"/>
          <w:szCs w:val="28"/>
        </w:rPr>
        <w:t>drug</w:t>
      </w:r>
      <w:r w:rsidR="0098197F">
        <w:rPr>
          <w:sz w:val="28"/>
          <w:szCs w:val="28"/>
        </w:rPr>
        <w:t xml:space="preserve"> can be a real issue that can be minimized by using </w:t>
      </w:r>
      <w:r w:rsidR="00C11C47">
        <w:rPr>
          <w:sz w:val="28"/>
          <w:szCs w:val="28"/>
        </w:rPr>
        <w:t>a closed valve</w:t>
      </w:r>
      <w:r w:rsidR="0098197F">
        <w:rPr>
          <w:sz w:val="28"/>
          <w:szCs w:val="28"/>
        </w:rPr>
        <w:t xml:space="preserve"> delivery system. Accidental disconnections can happen as patients can be up walking around during the infusion or have to visit the rest room and accidently disconnect their infusion line f</w:t>
      </w:r>
      <w:r w:rsidR="0005553F">
        <w:rPr>
          <w:sz w:val="28"/>
          <w:szCs w:val="28"/>
        </w:rPr>
        <w:t>r</w:t>
      </w:r>
      <w:r w:rsidR="00964F37">
        <w:rPr>
          <w:sz w:val="28"/>
          <w:szCs w:val="28"/>
        </w:rPr>
        <w:t>om their catheter.</w:t>
      </w:r>
    </w:p>
    <w:p w14:paraId="758A8D3F" w14:textId="77777777" w:rsidR="003C7BAA" w:rsidRPr="008650B1" w:rsidRDefault="003C7BAA">
      <w:pPr>
        <w:rPr>
          <w:sz w:val="28"/>
          <w:szCs w:val="28"/>
        </w:rPr>
      </w:pPr>
    </w:p>
    <w:p w14:paraId="5F59A24B" w14:textId="77777777" w:rsidR="00806BA2" w:rsidRDefault="00FF2852">
      <w:pPr>
        <w:rPr>
          <w:sz w:val="28"/>
          <w:szCs w:val="28"/>
        </w:rPr>
      </w:pPr>
      <w:r>
        <w:rPr>
          <w:sz w:val="28"/>
          <w:szCs w:val="28"/>
        </w:rPr>
        <w:t>With the push for more medical care to be performed outside of the hospital</w:t>
      </w:r>
      <w:r w:rsidR="004E251C">
        <w:rPr>
          <w:sz w:val="28"/>
          <w:szCs w:val="28"/>
        </w:rPr>
        <w:t xml:space="preserve">, there is a need to simplify these procedures and make them easy to use for the </w:t>
      </w:r>
      <w:r w:rsidR="00D91F7F">
        <w:rPr>
          <w:sz w:val="28"/>
          <w:szCs w:val="28"/>
        </w:rPr>
        <w:t>caregivers</w:t>
      </w:r>
      <w:r w:rsidR="004E251C">
        <w:rPr>
          <w:sz w:val="28"/>
          <w:szCs w:val="28"/>
        </w:rPr>
        <w:t xml:space="preserve"> and patients. The use of a closed fluid delivery system allows for ease of use and the enhancement of safety while helping to reduce the cost of these procedures. </w:t>
      </w:r>
    </w:p>
    <w:p w14:paraId="0CB4138E" w14:textId="77777777" w:rsidR="00806BA2" w:rsidRDefault="00806BA2">
      <w:pPr>
        <w:rPr>
          <w:sz w:val="28"/>
          <w:szCs w:val="28"/>
        </w:rPr>
      </w:pPr>
    </w:p>
    <w:p w14:paraId="735EEF2C" w14:textId="77777777" w:rsidR="00806BA2" w:rsidRDefault="00806BA2">
      <w:pPr>
        <w:rPr>
          <w:sz w:val="28"/>
          <w:szCs w:val="28"/>
        </w:rPr>
      </w:pPr>
      <w:r>
        <w:rPr>
          <w:sz w:val="28"/>
          <w:szCs w:val="28"/>
        </w:rPr>
        <w:t>Halkey Roberts has the most comprehensive line of split septum valves that can be integrated into fluid delivery systems such as IV bags and drug delivery system</w:t>
      </w:r>
    </w:p>
    <w:p w14:paraId="1C0A5ADB" w14:textId="77777777" w:rsidR="00806BA2" w:rsidRDefault="00806BA2">
      <w:pPr>
        <w:rPr>
          <w:sz w:val="28"/>
          <w:szCs w:val="28"/>
        </w:rPr>
      </w:pPr>
    </w:p>
    <w:p w14:paraId="544C3E60" w14:textId="77777777" w:rsidR="00806BA2" w:rsidRDefault="00806BA2">
      <w:pPr>
        <w:rPr>
          <w:sz w:val="28"/>
          <w:szCs w:val="28"/>
        </w:rPr>
      </w:pPr>
      <w:r>
        <w:rPr>
          <w:sz w:val="28"/>
          <w:szCs w:val="28"/>
        </w:rPr>
        <w:t>Visit our website for more information and to request free evaluation samples</w:t>
      </w:r>
    </w:p>
    <w:p w14:paraId="0C01D945" w14:textId="77777777" w:rsidR="00806BA2" w:rsidRDefault="00806BA2">
      <w:pPr>
        <w:rPr>
          <w:sz w:val="28"/>
          <w:szCs w:val="28"/>
        </w:rPr>
      </w:pPr>
    </w:p>
    <w:p w14:paraId="3DF8F13A" w14:textId="77777777" w:rsidR="00806BA2" w:rsidRDefault="001374CA">
      <w:pPr>
        <w:rPr>
          <w:sz w:val="28"/>
          <w:szCs w:val="28"/>
        </w:rPr>
      </w:pPr>
      <w:hyperlink r:id="rId12" w:history="1">
        <w:r w:rsidR="007076A3" w:rsidRPr="00933D20">
          <w:rPr>
            <w:rStyle w:val="Hyperlink"/>
            <w:sz w:val="28"/>
            <w:szCs w:val="28"/>
          </w:rPr>
          <w:t>https://www.halkeyroberts.com/needlefree-swabable-valves</w:t>
        </w:r>
      </w:hyperlink>
    </w:p>
    <w:p w14:paraId="124B0AA6" w14:textId="77777777" w:rsidR="007076A3" w:rsidRDefault="007076A3">
      <w:pPr>
        <w:rPr>
          <w:sz w:val="28"/>
          <w:szCs w:val="28"/>
        </w:rPr>
      </w:pPr>
    </w:p>
    <w:p w14:paraId="63E44E35" w14:textId="77777777" w:rsidR="007076A3" w:rsidRDefault="007076A3">
      <w:pPr>
        <w:rPr>
          <w:sz w:val="28"/>
          <w:szCs w:val="28"/>
        </w:rPr>
      </w:pPr>
    </w:p>
    <w:p w14:paraId="4D19F145" w14:textId="77777777" w:rsidR="001D2801" w:rsidRDefault="001D2801"/>
    <w:sectPr w:rsidR="001D280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6D99E" w14:textId="77777777" w:rsidR="006B2A99" w:rsidRDefault="006B2A99" w:rsidP="00877455">
      <w:pPr>
        <w:spacing w:after="0" w:line="240" w:lineRule="auto"/>
      </w:pPr>
      <w:r>
        <w:separator/>
      </w:r>
    </w:p>
  </w:endnote>
  <w:endnote w:type="continuationSeparator" w:id="0">
    <w:p w14:paraId="3E8FF637" w14:textId="77777777" w:rsidR="006B2A99" w:rsidRDefault="006B2A99" w:rsidP="0087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F9ADC" w14:textId="77777777" w:rsidR="006B2A99" w:rsidRDefault="006B2A99" w:rsidP="00877455">
      <w:pPr>
        <w:spacing w:after="0" w:line="240" w:lineRule="auto"/>
      </w:pPr>
      <w:r>
        <w:separator/>
      </w:r>
    </w:p>
  </w:footnote>
  <w:footnote w:type="continuationSeparator" w:id="0">
    <w:p w14:paraId="74E16C7C" w14:textId="77777777" w:rsidR="006B2A99" w:rsidRDefault="006B2A99" w:rsidP="0087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0707" w14:textId="77777777" w:rsidR="00356110" w:rsidRDefault="003561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45371"/>
    <w:multiLevelType w:val="hybridMultilevel"/>
    <w:tmpl w:val="03A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01"/>
    <w:rsid w:val="0005553F"/>
    <w:rsid w:val="00063306"/>
    <w:rsid w:val="001374CA"/>
    <w:rsid w:val="00147EAA"/>
    <w:rsid w:val="00150A9D"/>
    <w:rsid w:val="00172C89"/>
    <w:rsid w:val="001751AA"/>
    <w:rsid w:val="00180215"/>
    <w:rsid w:val="001D2801"/>
    <w:rsid w:val="001E7482"/>
    <w:rsid w:val="0028033E"/>
    <w:rsid w:val="00295FCC"/>
    <w:rsid w:val="002C71BB"/>
    <w:rsid w:val="002D3B29"/>
    <w:rsid w:val="00356110"/>
    <w:rsid w:val="00380524"/>
    <w:rsid w:val="003B38DD"/>
    <w:rsid w:val="003C7BAA"/>
    <w:rsid w:val="003D2AEE"/>
    <w:rsid w:val="003E5316"/>
    <w:rsid w:val="003F0E56"/>
    <w:rsid w:val="00416BFC"/>
    <w:rsid w:val="00435026"/>
    <w:rsid w:val="004415CC"/>
    <w:rsid w:val="00481D70"/>
    <w:rsid w:val="004C677D"/>
    <w:rsid w:val="004D5237"/>
    <w:rsid w:val="004E251C"/>
    <w:rsid w:val="0051532F"/>
    <w:rsid w:val="005736C6"/>
    <w:rsid w:val="00640B8A"/>
    <w:rsid w:val="006B2A99"/>
    <w:rsid w:val="006B7378"/>
    <w:rsid w:val="007076A3"/>
    <w:rsid w:val="007272D0"/>
    <w:rsid w:val="007904D8"/>
    <w:rsid w:val="007D6057"/>
    <w:rsid w:val="007F5BDE"/>
    <w:rsid w:val="00806BA2"/>
    <w:rsid w:val="00827794"/>
    <w:rsid w:val="0085759E"/>
    <w:rsid w:val="008650B1"/>
    <w:rsid w:val="008773FD"/>
    <w:rsid w:val="00877455"/>
    <w:rsid w:val="00951E4F"/>
    <w:rsid w:val="009644B5"/>
    <w:rsid w:val="00964F37"/>
    <w:rsid w:val="0098197F"/>
    <w:rsid w:val="009832FA"/>
    <w:rsid w:val="0099587C"/>
    <w:rsid w:val="009A7DD4"/>
    <w:rsid w:val="009B70E4"/>
    <w:rsid w:val="009E007D"/>
    <w:rsid w:val="009E5B83"/>
    <w:rsid w:val="00B165D4"/>
    <w:rsid w:val="00B55802"/>
    <w:rsid w:val="00BB51B1"/>
    <w:rsid w:val="00C11C47"/>
    <w:rsid w:val="00C308E4"/>
    <w:rsid w:val="00C82EFF"/>
    <w:rsid w:val="00C90529"/>
    <w:rsid w:val="00CC62D2"/>
    <w:rsid w:val="00D347B0"/>
    <w:rsid w:val="00D47CDD"/>
    <w:rsid w:val="00D91F7F"/>
    <w:rsid w:val="00DE20E4"/>
    <w:rsid w:val="00DF6243"/>
    <w:rsid w:val="00E05C2A"/>
    <w:rsid w:val="00E408EA"/>
    <w:rsid w:val="00E649C6"/>
    <w:rsid w:val="00E81313"/>
    <w:rsid w:val="00EB416D"/>
    <w:rsid w:val="00EF0481"/>
    <w:rsid w:val="00F50934"/>
    <w:rsid w:val="00F97EE9"/>
    <w:rsid w:val="00FC7AB5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CFA601"/>
  <w15:chartTrackingRefBased/>
  <w15:docId w15:val="{1202B15A-5BEB-4086-8BD5-ED81F988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55"/>
  </w:style>
  <w:style w:type="paragraph" w:styleId="Footer">
    <w:name w:val="footer"/>
    <w:basedOn w:val="Normal"/>
    <w:link w:val="FooterChar"/>
    <w:uiPriority w:val="99"/>
    <w:unhideWhenUsed/>
    <w:rsid w:val="0087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55"/>
  </w:style>
  <w:style w:type="character" w:styleId="Hyperlink">
    <w:name w:val="Hyperlink"/>
    <w:basedOn w:val="DefaultParagraphFont"/>
    <w:uiPriority w:val="99"/>
    <w:unhideWhenUsed/>
    <w:rsid w:val="00707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alkeyroberts.com/needlefree-swabable-val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Halkey-Roberts Corp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Bello, Steve;mwasley@HalkeyRoberts.com</dc:creator>
  <cp:keywords/>
  <dc:description/>
  <cp:lastModifiedBy>Francesca Mascino</cp:lastModifiedBy>
  <cp:revision>2</cp:revision>
  <dcterms:created xsi:type="dcterms:W3CDTF">2021-03-12T15:23:00Z</dcterms:created>
  <dcterms:modified xsi:type="dcterms:W3CDTF">2021-03-12T15:23:00Z</dcterms:modified>
</cp:coreProperties>
</file>